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AA9" w:rsidRDefault="00352AA9" w:rsidP="00352AA9">
      <w:pPr>
        <w:pStyle w:val="a3"/>
        <w:rPr>
          <w:rFonts w:ascii="Times New Roman" w:hAnsi="Times New Roman"/>
          <w:b/>
          <w:lang w:val="en-US"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</w:p>
    <w:p w:rsidR="00352AA9" w:rsidRDefault="00352AA9" w:rsidP="00352AA9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zh-CN"/>
        </w:rPr>
      </w:pPr>
      <w:r>
        <w:rPr>
          <w:rFonts w:ascii="Times New Roman" w:eastAsia="Times New Roman" w:hAnsi="Times New Roman"/>
          <w:b/>
          <w:noProof/>
          <w:sz w:val="24"/>
          <w:szCs w:val="20"/>
          <w:lang w:eastAsia="uk-UA"/>
        </w:rPr>
        <w:drawing>
          <wp:inline distT="0" distB="0" distL="0" distR="0" wp14:anchorId="52948446" wp14:editId="26A35636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AA9" w:rsidRDefault="00352AA9" w:rsidP="00352AA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zh-CN"/>
        </w:rPr>
        <w:t>БУЧАНСЬКА  МІСЬКА  РАДА</w:t>
      </w:r>
    </w:p>
    <w:p w:rsidR="00352AA9" w:rsidRDefault="00352AA9" w:rsidP="00352AA9">
      <w:pPr>
        <w:keepNext/>
        <w:pBdr>
          <w:bottom w:val="single" w:sz="12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outlineLvl w:val="1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                </w:t>
      </w:r>
    </w:p>
    <w:p w:rsidR="00352AA9" w:rsidRDefault="00352AA9" w:rsidP="00352AA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ДВАДЦЯТЬ ДЕВ'ЯТА  СЕСІЯ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ВОСЬМОГО  СКЛИКАННЯ</w:t>
      </w:r>
    </w:p>
    <w:p w:rsidR="00352AA9" w:rsidRDefault="00352AA9" w:rsidP="00352AA9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352AA9" w:rsidRDefault="00352AA9" w:rsidP="00352AA9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Р  І  Ш  Е  Н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Я</w:t>
      </w:r>
    </w:p>
    <w:p w:rsidR="00352AA9" w:rsidRDefault="00352AA9" w:rsidP="00352AA9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352AA9" w:rsidRDefault="00352AA9" w:rsidP="00352AA9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b/>
          <w:sz w:val="26"/>
          <w:szCs w:val="26"/>
          <w:lang w:eastAsia="zh-CN"/>
        </w:rPr>
        <w:t>24.02.2022</w:t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  <w:t xml:space="preserve">            </w:t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  <w:t xml:space="preserve">    № 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2967-29-VIIІ</w:t>
      </w:r>
    </w:p>
    <w:p w:rsidR="00352AA9" w:rsidRDefault="00352AA9" w:rsidP="00352AA9">
      <w:pPr>
        <w:tabs>
          <w:tab w:val="left" w:pos="523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352AA9" w:rsidRDefault="00352AA9" w:rsidP="00352AA9">
      <w:pPr>
        <w:spacing w:after="0" w:line="240" w:lineRule="auto"/>
        <w:ind w:right="506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Про затвердження місцевої програми</w:t>
      </w:r>
    </w:p>
    <w:p w:rsidR="00352AA9" w:rsidRDefault="00352AA9" w:rsidP="00352AA9">
      <w:pPr>
        <w:spacing w:after="0" w:line="240" w:lineRule="auto"/>
        <w:ind w:right="506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розвитку молодіжної  інфраструктури Бучанської міської територіальної громади на 2022 – 2023 роки</w:t>
      </w:r>
    </w:p>
    <w:p w:rsidR="00352AA9" w:rsidRDefault="00352AA9" w:rsidP="00352AA9">
      <w:pPr>
        <w:spacing w:after="0" w:line="240" w:lineRule="auto"/>
        <w:ind w:right="5061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52AA9" w:rsidRDefault="00352AA9" w:rsidP="00352AA9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З метою створення сприятливих соціальних, економічних, та організаційних умов для розвитку і самореалізації молоді у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Бучанській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міській територіальній громаді, сприяння національно-патріотичному вихованню дітей та молоді, забезпечення активності молоді в усіх сферах життєдіяльності громади, враховуючи пропозицію начальника відділу молоді та спорту Бучанської міської ради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Додатко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Н.А.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звернення Молодіжної ради Бучанської МТГ щодо затвердження місцевої Програми розвитку молодіжної інфраструктури Бучанської міської територіальної громади на 2022 – 2023 роки,  керуючись  Законом України «Про місцеве самоврядування в Україні», міська рада</w:t>
      </w:r>
    </w:p>
    <w:p w:rsidR="00352AA9" w:rsidRDefault="00352AA9" w:rsidP="00352AA9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2AA9" w:rsidRDefault="00352AA9" w:rsidP="00352AA9">
      <w:pPr>
        <w:spacing w:after="0"/>
        <w:ind w:firstLine="28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Л А :</w:t>
      </w:r>
    </w:p>
    <w:p w:rsidR="00352AA9" w:rsidRDefault="00352AA9" w:rsidP="00352AA9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2AA9" w:rsidRDefault="00352AA9" w:rsidP="00352AA9">
      <w:pPr>
        <w:numPr>
          <w:ilvl w:val="0"/>
          <w:numId w:val="1"/>
        </w:numPr>
        <w:spacing w:after="0"/>
        <w:ind w:right="22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Затвердити місцеву програму розвитку молодіжної інфраструктури Бучанської міської територіальної громади на 2022 – 2023 роки,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згідно  додатку 1.</w:t>
      </w:r>
    </w:p>
    <w:p w:rsidR="00352AA9" w:rsidRDefault="00352AA9" w:rsidP="00352AA9">
      <w:pPr>
        <w:numPr>
          <w:ilvl w:val="0"/>
          <w:numId w:val="1"/>
        </w:numPr>
        <w:spacing w:after="0"/>
        <w:ind w:right="22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Затвердити бланк заяви на участь у конкурсі програми, згідно додатку 2.</w:t>
      </w:r>
    </w:p>
    <w:p w:rsidR="00352AA9" w:rsidRDefault="00352AA9" w:rsidP="00352AA9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Відділу молоді та спорту Бучанської міської ради забезпечити виконання </w:t>
      </w:r>
    </w:p>
    <w:p w:rsidR="00352AA9" w:rsidRDefault="00352AA9" w:rsidP="00352AA9">
      <w:pPr>
        <w:spacing w:after="0"/>
        <w:ind w:left="58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даної Програми. </w:t>
      </w:r>
    </w:p>
    <w:p w:rsidR="00352AA9" w:rsidRDefault="00352AA9" w:rsidP="00352AA9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постійну комісію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з </w:t>
      </w:r>
    </w:p>
    <w:p w:rsidR="00352AA9" w:rsidRDefault="00352AA9" w:rsidP="00352AA9">
      <w:pPr>
        <w:spacing w:after="0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гуманітарних питань (охорони здоров’я, освіти, культури, духовності,    </w:t>
      </w:r>
    </w:p>
    <w:p w:rsidR="00352AA9" w:rsidRDefault="00352AA9" w:rsidP="00352AA9">
      <w:pPr>
        <w:spacing w:after="0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молодіжної політики, спорту), цивільного захисту та надзвичайних </w:t>
      </w:r>
    </w:p>
    <w:p w:rsidR="00352AA9" w:rsidRDefault="00352AA9" w:rsidP="00352AA9">
      <w:pPr>
        <w:spacing w:after="0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ситуацій.</w:t>
      </w:r>
    </w:p>
    <w:p w:rsidR="00352AA9" w:rsidRDefault="00352AA9" w:rsidP="00352A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2AA9" w:rsidRDefault="00352AA9" w:rsidP="00352A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2AA9" w:rsidRDefault="00352AA9" w:rsidP="00352AA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Міський голова                                                                           Анатолій ФЕДОРУК</w:t>
      </w:r>
    </w:p>
    <w:p w:rsidR="00352AA9" w:rsidRDefault="00352AA9" w:rsidP="00352A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2AA9" w:rsidRDefault="00352AA9" w:rsidP="00352A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2AA9" w:rsidRDefault="00352AA9" w:rsidP="00352AA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52AA9" w:rsidTr="00352AA9">
        <w:tc>
          <w:tcPr>
            <w:tcW w:w="4927" w:type="dxa"/>
          </w:tcPr>
          <w:p w:rsidR="00352AA9" w:rsidRDefault="00352A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  <w:hideMark/>
          </w:tcPr>
          <w:p w:rsidR="00352AA9" w:rsidRDefault="00352A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Додаток 1</w:t>
            </w:r>
          </w:p>
          <w:p w:rsidR="00352AA9" w:rsidRPr="00352AA9" w:rsidRDefault="00352AA9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рішення сесії № 2967-29-</w:t>
            </w:r>
            <w:r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uk-UA"/>
              </w:rPr>
              <w:t xml:space="preserve"> VIIІ</w:t>
            </w:r>
          </w:p>
          <w:p w:rsidR="00352AA9" w:rsidRDefault="00352A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Бучанської міської ради</w:t>
            </w:r>
          </w:p>
          <w:p w:rsidR="00352AA9" w:rsidRDefault="00352A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  <w:t>24.02.2022</w:t>
            </w:r>
          </w:p>
        </w:tc>
      </w:tr>
    </w:tbl>
    <w:p w:rsidR="00352AA9" w:rsidRDefault="00352AA9" w:rsidP="00352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2AA9" w:rsidRDefault="00352AA9" w:rsidP="00352AA9">
      <w:pPr>
        <w:tabs>
          <w:tab w:val="left" w:pos="810"/>
          <w:tab w:val="center" w:pos="4790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</w:t>
      </w:r>
    </w:p>
    <w:p w:rsidR="00352AA9" w:rsidRDefault="00352AA9" w:rsidP="00352AA9">
      <w:pPr>
        <w:shd w:val="clear" w:color="auto" w:fill="FFFFFF"/>
        <w:spacing w:before="15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2AA9" w:rsidRDefault="00352AA9" w:rsidP="00352AA9">
      <w:pPr>
        <w:shd w:val="clear" w:color="auto" w:fill="FFFFFF"/>
        <w:spacing w:after="0"/>
        <w:ind w:firstLine="30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Місцева програма розвитку молодіжної інфраструктури у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Бучанській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міській  територіальній громаді на 2022-</w:t>
      </w:r>
      <w:r>
        <w:rPr>
          <w:rFonts w:ascii="Times New Roman" w:hAnsi="Times New Roman"/>
          <w:b/>
          <w:bCs/>
          <w:sz w:val="28"/>
          <w:szCs w:val="28"/>
        </w:rPr>
        <w:t>2023</w:t>
      </w:r>
      <w:r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роки</w:t>
      </w:r>
    </w:p>
    <w:p w:rsidR="00352AA9" w:rsidRDefault="00352AA9" w:rsidP="00352A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352AA9" w:rsidRDefault="00352AA9" w:rsidP="00352AA9">
      <w:pPr>
        <w:spacing w:after="0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Паспорт</w:t>
      </w:r>
    </w:p>
    <w:tbl>
      <w:tblPr>
        <w:tblW w:w="5078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4476"/>
        <w:gridCol w:w="4626"/>
      </w:tblGrid>
      <w:tr w:rsidR="00352AA9" w:rsidTr="00352AA9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Ініціатор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розроблення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іжна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рада Бучанської МТГ</w:t>
            </w:r>
          </w:p>
        </w:tc>
      </w:tr>
      <w:tr w:rsidR="00352AA9" w:rsidTr="00352AA9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Розробник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widowControl w:val="0"/>
              <w:suppressLineNumbers/>
              <w:suppressAutoHyphens/>
              <w:spacing w:after="0" w:line="288" w:lineRule="auto"/>
              <w:ind w:right="-28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Відділ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спорту,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правління юридично – кадрової роботи</w:t>
            </w:r>
          </w:p>
          <w:p w:rsidR="00352AA9" w:rsidRDefault="00352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Фінансове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Бучанської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ради,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іжна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рада Бучанської МТГ</w:t>
            </w:r>
          </w:p>
        </w:tc>
      </w:tr>
      <w:tr w:rsidR="00352AA9" w:rsidTr="00352AA9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Співрозробники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52AA9" w:rsidTr="00352AA9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Відповідальний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виконавець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Відділ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спорту </w:t>
            </w:r>
          </w:p>
        </w:tc>
      </w:tr>
      <w:tr w:rsidR="00352AA9" w:rsidTr="00352AA9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Учасники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Бучанська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міська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рада </w:t>
            </w:r>
          </w:p>
        </w:tc>
      </w:tr>
      <w:tr w:rsidR="00352AA9" w:rsidTr="00352AA9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Термін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реалізації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2022-2023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ік</w:t>
            </w:r>
            <w:proofErr w:type="spellEnd"/>
          </w:p>
        </w:tc>
      </w:tr>
      <w:tr w:rsidR="00352AA9" w:rsidTr="00352AA9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Перелік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джерел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фінансування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ошти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обласних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державних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всеукраїнських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іжнародних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проєктів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352AA9" w:rsidRDefault="00352A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Кошти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міського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бюджету;</w:t>
            </w:r>
          </w:p>
          <w:p w:rsidR="00352AA9" w:rsidRDefault="00352A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Кошти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інших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джерел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не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заборонені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чинним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законодавством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352AA9" w:rsidRDefault="00352AA9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</w:p>
        </w:tc>
      </w:tr>
    </w:tbl>
    <w:p w:rsidR="00352AA9" w:rsidRDefault="00352AA9" w:rsidP="0035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Вступ</w:t>
      </w:r>
    </w:p>
    <w:p w:rsidR="00352AA9" w:rsidRDefault="00352AA9" w:rsidP="0035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45"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Програма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розвитку молодіжної інфраструктури </w:t>
      </w:r>
      <w:r>
        <w:rPr>
          <w:rFonts w:ascii="Times New Roman" w:hAnsi="Times New Roman"/>
          <w:color w:val="000000"/>
          <w:sz w:val="28"/>
          <w:szCs w:val="28"/>
        </w:rPr>
        <w:t xml:space="preserve">Бучанської міської  територіальної громади на 2022-2023 роки (надалі - Програма) розроблена на підставі Законів України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«Про основні засади молодіжної політики»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52AA9" w:rsidRDefault="00352AA9" w:rsidP="00352AA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Бучанська громада налічує 14 населених пунктів, загальна кількість молоді віком від 10 до 35 років – 18803 осіб, що складає приблизно 30,03 % від загальної кількості населення, але не вся громада залучена у єдиний «молодіжний рух». Населені пункти, що тепер є частиною громади мають різний кількісний та якісний склад інфраструктури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і молодіжної. </w:t>
      </w:r>
    </w:p>
    <w:p w:rsidR="00352AA9" w:rsidRDefault="00352AA9" w:rsidP="00352AA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Ухвалення програми дає можливість здійснювати  фінансування об'єктів молодіжної інфраструктури, які в свою чергу матимуть сприятливий вплив на розвиток молодіжної політики у громаді.</w:t>
      </w:r>
    </w:p>
    <w:p w:rsidR="00352AA9" w:rsidRDefault="00352AA9" w:rsidP="00352AA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Затвердження даної програми спрямоване на задоволення потреб та створення необхідних умов для ефективної соціалізації молодих громадян Бучанської МТГ, що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надасть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право вільного вибору, доступу та задоволення найрізноманітніших смаків та потреб молодих людей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Бучанського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регіону. Можливість розширення молодіжної інфраструктури буде сприяти збільшенню кількості суб’єктів молодіжної політики, що робить її сприйнятливішою для молоді, підвищуватиме ефективність роботи молодіжних осередків нашої громади.</w:t>
      </w:r>
    </w:p>
    <w:p w:rsidR="00352AA9" w:rsidRDefault="00352AA9" w:rsidP="00352AA9">
      <w:pPr>
        <w:shd w:val="clear" w:color="auto" w:fill="FFFFFF"/>
        <w:spacing w:before="15" w:after="0" w:line="240" w:lineRule="auto"/>
        <w:ind w:left="644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2AA9" w:rsidRDefault="00352AA9" w:rsidP="00352AA9">
      <w:pPr>
        <w:pStyle w:val="a4"/>
        <w:numPr>
          <w:ilvl w:val="0"/>
          <w:numId w:val="2"/>
        </w:numPr>
        <w:shd w:val="clear" w:color="auto" w:fill="FFFFFF"/>
        <w:spacing w:before="15" w:after="0" w:line="240" w:lineRule="auto"/>
        <w:ind w:left="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Мета та завдання Програми</w:t>
      </w:r>
    </w:p>
    <w:p w:rsidR="00352AA9" w:rsidRDefault="00352AA9" w:rsidP="00352AA9">
      <w:pPr>
        <w:pStyle w:val="a4"/>
        <w:shd w:val="clear" w:color="auto" w:fill="FFFFFF"/>
        <w:spacing w:before="15" w:after="0" w:line="240" w:lineRule="auto"/>
        <w:ind w:left="4605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2AA9" w:rsidRDefault="00352AA9" w:rsidP="00352AA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2.1. Метою Програми є покращення стану молодіжної інфраструктури 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Бучанській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міській територіальній громаді, право вільного вибору та доступу,  підвищення ефективності роботи молодіжної політики в регіоні. </w:t>
      </w:r>
    </w:p>
    <w:p w:rsidR="00352AA9" w:rsidRDefault="00352AA9" w:rsidP="00352AA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 Завдання програми:</w:t>
      </w:r>
    </w:p>
    <w:p w:rsidR="00352AA9" w:rsidRDefault="00352AA9" w:rsidP="00352AA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створення нових об’єктів молодіжної інфраструктури,</w:t>
      </w:r>
    </w:p>
    <w:p w:rsidR="00352AA9" w:rsidRDefault="00352AA9" w:rsidP="00352AA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залучення молоді до ухвалення рішень,</w:t>
      </w:r>
    </w:p>
    <w:p w:rsidR="00352AA9" w:rsidRDefault="00352AA9" w:rsidP="00352AA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покращення співпраці молоді та влади,</w:t>
      </w:r>
    </w:p>
    <w:p w:rsidR="00352AA9" w:rsidRDefault="00352AA9" w:rsidP="00352AA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реалізація принципів Національної молодіжної стратегії до 2030 року.</w:t>
      </w:r>
    </w:p>
    <w:p w:rsidR="00352AA9" w:rsidRDefault="00352AA9" w:rsidP="00352AA9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2AA9" w:rsidRDefault="00352AA9" w:rsidP="00352AA9">
      <w:pPr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Основні об’єкти інфраструктури, </w:t>
      </w:r>
    </w:p>
    <w:p w:rsidR="00352AA9" w:rsidRDefault="00352AA9" w:rsidP="00352AA9">
      <w:pPr>
        <w:shd w:val="clear" w:color="auto" w:fill="FFFFFF"/>
        <w:spacing w:after="0" w:line="240" w:lineRule="auto"/>
        <w:ind w:left="100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реалізацію яких охоплює Програма</w:t>
      </w:r>
    </w:p>
    <w:p w:rsidR="00352AA9" w:rsidRDefault="00352AA9" w:rsidP="00352AA9">
      <w:pPr>
        <w:shd w:val="clear" w:color="auto" w:fill="FFFFFF"/>
        <w:spacing w:after="0" w:line="240" w:lineRule="auto"/>
        <w:ind w:left="100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2AA9" w:rsidRDefault="00352AA9" w:rsidP="00352AA9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Сучасна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інфраструктура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молоддю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молодіжні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центри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молодіжні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простори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молодіжні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хаби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</w:t>
      </w:r>
    </w:p>
    <w:p w:rsidR="00352AA9" w:rsidRDefault="00352AA9" w:rsidP="00352AA9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3.2.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Простори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активного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відпочинку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скейт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-парк,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мотузкові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парки);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 xml:space="preserve">3.3.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Простори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креативного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відпочинку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зони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графіті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арт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простори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</w:t>
      </w:r>
    </w:p>
    <w:p w:rsidR="00352AA9" w:rsidRDefault="00352AA9" w:rsidP="00352AA9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3.4.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Культурна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інфраструктура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клубні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заклади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публічні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бібліотеки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кінотеатри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театри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музеї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мистецькі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школи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 xml:space="preserve">3.5.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Спортивна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інфраструктура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відкриті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спортивні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майданчики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видів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спорту,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тренажерні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зали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еко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-стежки).</w:t>
      </w:r>
    </w:p>
    <w:p w:rsidR="00352AA9" w:rsidRDefault="00352AA9" w:rsidP="00352AA9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3.6. Інфраструктура, яка допомагає молоді в питаннях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працевлаштування, розвитку молодіжного підприємництва, соціального підприємництва, підтримка соціальних груп молоді, у забезпеченні доступності молодіжних публічних установ та просторів, 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для людей з інвалідністю;</w:t>
      </w:r>
    </w:p>
    <w:p w:rsidR="00352AA9" w:rsidRDefault="00352AA9" w:rsidP="00352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2AA9" w:rsidRDefault="00352AA9" w:rsidP="00352AA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Напрямки реалізації Програми</w:t>
      </w:r>
    </w:p>
    <w:p w:rsidR="00352AA9" w:rsidRDefault="00352AA9" w:rsidP="00352AA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2AA9" w:rsidRDefault="00352AA9" w:rsidP="00352AA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Напрямки реалізації Програми </w:t>
      </w:r>
      <w:r>
        <w:rPr>
          <w:rFonts w:ascii="Times New Roman" w:hAnsi="Times New Roman"/>
          <w:sz w:val="28"/>
          <w:szCs w:val="28"/>
        </w:rPr>
        <w:t xml:space="preserve">передбачає концентрацію зусиль на таких пріоритетах: </w:t>
      </w:r>
    </w:p>
    <w:p w:rsidR="00352AA9" w:rsidRDefault="00352AA9" w:rsidP="00352AA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Пріоритет 1.</w:t>
      </w:r>
      <w:r>
        <w:rPr>
          <w:rFonts w:ascii="Times New Roman" w:hAnsi="Times New Roman"/>
          <w:sz w:val="28"/>
          <w:szCs w:val="28"/>
        </w:rPr>
        <w:t xml:space="preserve"> Якісне дозвілля молоді – забезпечення умов та планування заходів з метою реалізації культурних потреб молоді.</w:t>
      </w:r>
    </w:p>
    <w:p w:rsidR="00352AA9" w:rsidRDefault="00352AA9" w:rsidP="00352AA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Пріоритет 2.</w:t>
      </w:r>
      <w:r>
        <w:rPr>
          <w:rFonts w:ascii="Times New Roman" w:hAnsi="Times New Roman"/>
          <w:sz w:val="28"/>
          <w:szCs w:val="28"/>
        </w:rPr>
        <w:t xml:space="preserve"> Розвиток молодіжної інфраструктури – створення комфортних умов для розвитку молоді в громадах.</w:t>
      </w:r>
    </w:p>
    <w:p w:rsidR="00352AA9" w:rsidRDefault="00352AA9" w:rsidP="00352AA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Пріоритет 3.</w:t>
      </w:r>
      <w:r>
        <w:rPr>
          <w:rFonts w:ascii="Times New Roman" w:hAnsi="Times New Roman"/>
          <w:sz w:val="28"/>
          <w:szCs w:val="28"/>
        </w:rPr>
        <w:t xml:space="preserve"> Молодіжна зайнятість – створення умов та здійснення заходів, спрямованих на забезпечення первинної і вторинної зайнятості.</w:t>
      </w:r>
    </w:p>
    <w:p w:rsidR="00352AA9" w:rsidRDefault="00352AA9" w:rsidP="00352AA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2AA9" w:rsidRDefault="00352AA9" w:rsidP="00352AA9">
      <w:pPr>
        <w:numPr>
          <w:ilvl w:val="0"/>
          <w:numId w:val="3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Обсяги та джерела фінансування Програми:</w:t>
      </w:r>
    </w:p>
    <w:p w:rsidR="00352AA9" w:rsidRDefault="00352AA9" w:rsidP="00352AA9">
      <w:pPr>
        <w:suppressAutoHyphens/>
        <w:spacing w:after="0" w:line="240" w:lineRule="auto"/>
        <w:ind w:left="1004"/>
        <w:contextualSpacing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52AA9" w:rsidRDefault="00352AA9" w:rsidP="00352AA9">
      <w:pPr>
        <w:spacing w:after="0" w:line="240" w:lineRule="auto"/>
        <w:ind w:firstLine="64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Фінансування Програми здійснюється за рахунок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коштів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міського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бюджету,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</w:t>
      </w:r>
      <w:r>
        <w:rPr>
          <w:rFonts w:ascii="Times New Roman" w:hAnsi="Times New Roman"/>
          <w:sz w:val="28"/>
          <w:szCs w:val="28"/>
          <w:lang w:val="ru-RU"/>
        </w:rPr>
        <w:t>оштів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обласних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державних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всеукраїнських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міжнародних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проєктів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коштів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інших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джерел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не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заборонених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чинним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законодавством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352AA9" w:rsidRDefault="00352AA9" w:rsidP="00352AA9">
      <w:pPr>
        <w:spacing w:after="0" w:line="240" w:lineRule="auto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6.Порядок відбору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заявок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для участі у Програмі</w:t>
      </w:r>
    </w:p>
    <w:p w:rsidR="00352AA9" w:rsidRDefault="00352AA9" w:rsidP="00352AA9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52AA9" w:rsidRDefault="00352AA9" w:rsidP="00352AA9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6.1.  Відбір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проєктів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покладається на Конкурсну комісію, </w:t>
      </w:r>
      <w:r>
        <w:rPr>
          <w:rFonts w:ascii="Times New Roman" w:hAnsi="Times New Roman"/>
          <w:color w:val="000000"/>
          <w:sz w:val="28"/>
          <w:szCs w:val="28"/>
        </w:rPr>
        <w:t>яку очолює заступник міського голови відповідного профілю спрямування.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Персональний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Склад Конкурсної комісії у кількості 7 осіб та порядок проведення Конкурсу затверджується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ішенням виконавчого комітету Бучанської міської ради.</w:t>
      </w:r>
    </w:p>
    <w:p w:rsidR="00352AA9" w:rsidRDefault="00352AA9" w:rsidP="00352AA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 складу Конкурсної комісії входить (за посадою):</w:t>
      </w:r>
    </w:p>
    <w:p w:rsidR="00352AA9" w:rsidRDefault="00352AA9" w:rsidP="00352AA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6.1.1. Голова Молодіжної ради Бучанської міської територіальної громади</w:t>
      </w:r>
      <w:r>
        <w:rPr>
          <w:rFonts w:ascii="Times New Roman" w:hAnsi="Times New Roman"/>
          <w:sz w:val="28"/>
          <w:szCs w:val="28"/>
        </w:rPr>
        <w:t>;</w:t>
      </w:r>
    </w:p>
    <w:p w:rsidR="00352AA9" w:rsidRDefault="00352AA9" w:rsidP="00352AA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6.1.2. Голова депутатської комісії з питань планування, бюджету, фінансів та    </w:t>
      </w:r>
    </w:p>
    <w:p w:rsidR="00352AA9" w:rsidRDefault="00352AA9" w:rsidP="00352AA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податкової політики;</w:t>
      </w:r>
    </w:p>
    <w:p w:rsidR="00352AA9" w:rsidRDefault="00352AA9" w:rsidP="00352AA9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6.1.3. Голова постійної комісії з гуманітарних питань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охорони здоров’я, освіти, культури, духовності, молодіжної політики, спорту), цивільного захисту та надзвичайних ситуацій;</w:t>
      </w:r>
    </w:p>
    <w:p w:rsidR="00352AA9" w:rsidRDefault="00352AA9" w:rsidP="00352AA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6.1.4.Представник відділу містобудування та архітектури Бучанської міської ради;</w:t>
      </w:r>
    </w:p>
    <w:p w:rsidR="00352AA9" w:rsidRDefault="00352AA9" w:rsidP="00352AA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6.1.5.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Представник відділу молоді та спорту Бучанської міської ради;</w:t>
      </w:r>
    </w:p>
    <w:p w:rsidR="00352AA9" w:rsidRDefault="00352AA9" w:rsidP="00352AA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6.1.6. Представники громадськості.</w:t>
      </w:r>
    </w:p>
    <w:p w:rsidR="00352AA9" w:rsidRDefault="00352AA9" w:rsidP="00352AA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</w:t>
      </w:r>
      <w:r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>Перелік об’єктів, які відібрані Конкурсною комісією затверджується рішенням виконавчого комітету Бучанської міської ради на підставі протоколу засідання Конкурсної комісії.</w:t>
      </w:r>
    </w:p>
    <w:p w:rsidR="00352AA9" w:rsidRDefault="00352AA9" w:rsidP="00352AA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6.3.    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та/або пропозиції, що були затверджені Конкурсною комісією або подані Молодіжною радою Бучанської міської територіальної громади, повинна бути розроблена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проєктно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-кошторисна документація. </w:t>
      </w:r>
    </w:p>
    <w:p w:rsidR="00352AA9" w:rsidRDefault="00352AA9" w:rsidP="00352AA9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6.4. Розробка </w:t>
      </w:r>
      <w:proofErr w:type="spellStart"/>
      <w:r>
        <w:rPr>
          <w:rFonts w:ascii="Times New Roman" w:hAnsi="Times New Roman"/>
          <w:sz w:val="28"/>
          <w:szCs w:val="28"/>
        </w:rPr>
        <w:t>проєктно</w:t>
      </w:r>
      <w:proofErr w:type="spellEnd"/>
      <w:r>
        <w:rPr>
          <w:rFonts w:ascii="Times New Roman" w:hAnsi="Times New Roman"/>
          <w:sz w:val="28"/>
          <w:szCs w:val="28"/>
        </w:rPr>
        <w:t>-кошторисної документації покладається на відповідального виконавця Програми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352AA9" w:rsidRDefault="00352AA9" w:rsidP="00352AA9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6.5. Після розробки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проєктно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-кошторисної документації Конкурсна комісія може остаточно затвердити, відхилити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або винести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на доопрацювання.</w:t>
      </w:r>
    </w:p>
    <w:p w:rsidR="00352AA9" w:rsidRDefault="00352AA9" w:rsidP="00352AA9">
      <w:pPr>
        <w:spacing w:after="0"/>
        <w:ind w:left="567" w:hanging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6.6. Для аналізу потреби у створенні того чи іншого об’єкту або комплексу об’єктів, за рішенням Комісії або Молодіжної ради Бучанської МТГ має бути проведене соціологічне дослідження.</w:t>
      </w:r>
    </w:p>
    <w:p w:rsidR="00352AA9" w:rsidRDefault="00352AA9" w:rsidP="00352AA9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6.7. Алгоритм реалізації Програми.</w:t>
      </w:r>
    </w:p>
    <w:p w:rsidR="00352AA9" w:rsidRDefault="00352AA9" w:rsidP="00352AA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6.7.1.Подача пропозиції або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ЦНАПу</w:t>
      </w:r>
      <w:proofErr w:type="spellEnd"/>
      <w:r>
        <w:rPr>
          <w:rFonts w:ascii="Times New Roman" w:hAnsi="Times New Roman"/>
          <w:sz w:val="28"/>
          <w:szCs w:val="28"/>
        </w:rPr>
        <w:t xml:space="preserve"> Бучанської міської ради;</w:t>
      </w:r>
    </w:p>
    <w:p w:rsidR="00352AA9" w:rsidRDefault="00352AA9" w:rsidP="00352AA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6.7.2.Засідання Конкурсної комісії; </w:t>
      </w:r>
    </w:p>
    <w:p w:rsidR="00352AA9" w:rsidRDefault="00352AA9" w:rsidP="00352AA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6.7.3.Конкурсна комісія </w:t>
      </w:r>
      <w:r>
        <w:rPr>
          <w:rFonts w:ascii="Times New Roman" w:eastAsia="Times New Roman" w:hAnsi="Times New Roman"/>
          <w:sz w:val="28"/>
          <w:szCs w:val="28"/>
        </w:rPr>
        <w:t>проводить розгляд та обговорення пропозиції;</w:t>
      </w:r>
    </w:p>
    <w:p w:rsidR="00352AA9" w:rsidRDefault="00352AA9" w:rsidP="00352AA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6.7.4.Винесення остаточного рішення щодо реалізації пропозиції або </w:t>
      </w:r>
      <w:proofErr w:type="spellStart"/>
      <w:r>
        <w:rPr>
          <w:rFonts w:ascii="Times New Roman" w:hAnsi="Times New Roman"/>
          <w:sz w:val="28"/>
          <w:szCs w:val="28"/>
        </w:rPr>
        <w:t>проєкта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352AA9" w:rsidRDefault="00352AA9" w:rsidP="00352AA9">
      <w:pPr>
        <w:shd w:val="clear" w:color="auto" w:fill="FFFFFF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highlight w:val="yellow"/>
        </w:rPr>
      </w:pPr>
    </w:p>
    <w:p w:rsidR="00352AA9" w:rsidRDefault="00352AA9" w:rsidP="00352AA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7.Очікувані результати від виконання Програми</w:t>
      </w:r>
    </w:p>
    <w:p w:rsidR="00352AA9" w:rsidRDefault="00352AA9" w:rsidP="00352AA9">
      <w:pPr>
        <w:shd w:val="clear" w:color="auto" w:fill="FFFFFF"/>
        <w:spacing w:after="0" w:line="240" w:lineRule="auto"/>
        <w:ind w:left="100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2AA9" w:rsidRDefault="00352AA9" w:rsidP="00352AA9">
      <w:pPr>
        <w:shd w:val="clear" w:color="auto" w:fill="FFFFFF"/>
        <w:spacing w:after="0" w:line="240" w:lineRule="auto"/>
        <w:ind w:firstLine="3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7.1. Для Бучанської міської територіальної громади:</w:t>
      </w:r>
    </w:p>
    <w:p w:rsidR="00352AA9" w:rsidRDefault="00352AA9" w:rsidP="00352AA9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7.1.1 забезпечення інструменту для реалізації потреби в сучасній молодіжній інфраструктурі;</w:t>
      </w:r>
    </w:p>
    <w:p w:rsidR="00352AA9" w:rsidRDefault="00352AA9" w:rsidP="00352AA9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7.1.2 покращення стану існуючої молодіжної інфраструктури;</w:t>
      </w:r>
    </w:p>
    <w:p w:rsidR="00352AA9" w:rsidRDefault="00352AA9" w:rsidP="00352AA9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7.1.3 можливість впливати на розвиток та створення закладів по роботі з молоддю;</w:t>
      </w:r>
    </w:p>
    <w:p w:rsidR="00352AA9" w:rsidRDefault="00352AA9" w:rsidP="00352AA9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7.1.4 залучення молоді у процеси ухвалення рішень;</w:t>
      </w:r>
    </w:p>
    <w:p w:rsidR="00352AA9" w:rsidRDefault="00352AA9" w:rsidP="00352AA9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7.1.5 збільшення рівня комфорту молоді у нашій громаді.</w:t>
      </w:r>
    </w:p>
    <w:p w:rsidR="00352AA9" w:rsidRDefault="00352AA9" w:rsidP="00352AA9">
      <w:pPr>
        <w:shd w:val="clear" w:color="auto" w:fill="FFFFFF"/>
        <w:spacing w:after="0" w:line="240" w:lineRule="auto"/>
        <w:ind w:firstLine="3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7.2. Для міської влади:</w:t>
      </w:r>
    </w:p>
    <w:p w:rsidR="00352AA9" w:rsidRDefault="00352AA9" w:rsidP="00352AA9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7.2.1 реалізація державної політики щодо розвитку молоді;</w:t>
      </w:r>
    </w:p>
    <w:p w:rsidR="00352AA9" w:rsidRDefault="00352AA9" w:rsidP="00352AA9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7.2.2 поліпшення фізичного та морального стану молодіжної інфраструктури у громаді;</w:t>
      </w:r>
    </w:p>
    <w:p w:rsidR="00352AA9" w:rsidRDefault="00352AA9" w:rsidP="00352AA9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7.2.3 створення прозорого механізму взаємодії міської влади з молоддю та молодіжними об’єднаннями ;</w:t>
      </w:r>
    </w:p>
    <w:p w:rsidR="00352AA9" w:rsidRDefault="00352AA9" w:rsidP="00352AA9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7.2.4 налагодження партнерських відносин із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грантодавцями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які підтримують розвиток молодіжної політики та зокрема розвиток молодіжної інфраструктури.</w:t>
      </w:r>
    </w:p>
    <w:p w:rsidR="00352AA9" w:rsidRDefault="00352AA9" w:rsidP="00352AA9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</w:rPr>
      </w:pPr>
    </w:p>
    <w:p w:rsidR="00352AA9" w:rsidRDefault="00352AA9" w:rsidP="00352AA9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</w:rPr>
      </w:pPr>
    </w:p>
    <w:p w:rsidR="00352AA9" w:rsidRDefault="00352AA9" w:rsidP="00352AA9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</w:rPr>
      </w:pPr>
    </w:p>
    <w:p w:rsidR="00352AA9" w:rsidRDefault="00352AA9" w:rsidP="00352AA9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ради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>Тарас ШАПРАВСЬКИЙ</w:t>
      </w:r>
    </w:p>
    <w:p w:rsidR="00352AA9" w:rsidRDefault="00352AA9" w:rsidP="00352AA9">
      <w:pPr>
        <w:rPr>
          <w:rFonts w:ascii="Times New Roman" w:hAnsi="Times New Roman"/>
        </w:rPr>
      </w:pPr>
    </w:p>
    <w:p w:rsidR="00352AA9" w:rsidRDefault="00352AA9" w:rsidP="00352AA9">
      <w:pPr>
        <w:rPr>
          <w:rFonts w:ascii="Times New Roman" w:hAnsi="Times New Roman"/>
        </w:rPr>
      </w:pPr>
    </w:p>
    <w:p w:rsidR="00352AA9" w:rsidRDefault="00352AA9" w:rsidP="00352AA9">
      <w:pPr>
        <w:rPr>
          <w:rFonts w:ascii="Times New Roman" w:hAnsi="Times New Roman"/>
        </w:rPr>
      </w:pPr>
    </w:p>
    <w:p w:rsidR="00352AA9" w:rsidRDefault="00352AA9" w:rsidP="00352AA9">
      <w:pPr>
        <w:rPr>
          <w:rFonts w:ascii="Times New Roman" w:hAnsi="Times New Roman"/>
        </w:rPr>
      </w:pPr>
    </w:p>
    <w:p w:rsidR="00352AA9" w:rsidRDefault="00352AA9" w:rsidP="00352AA9">
      <w:pPr>
        <w:rPr>
          <w:rFonts w:ascii="Times New Roman" w:hAnsi="Times New Roman"/>
        </w:rPr>
      </w:pPr>
    </w:p>
    <w:p w:rsidR="00352AA9" w:rsidRDefault="00352AA9" w:rsidP="00352AA9">
      <w:pPr>
        <w:rPr>
          <w:rFonts w:ascii="Times New Roman" w:hAnsi="Times New Roman"/>
        </w:rPr>
      </w:pPr>
    </w:p>
    <w:p w:rsidR="00352AA9" w:rsidRDefault="00352AA9" w:rsidP="00352AA9">
      <w:pPr>
        <w:rPr>
          <w:rFonts w:ascii="Times New Roman" w:hAnsi="Times New Roman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52AA9" w:rsidTr="00352AA9">
        <w:tc>
          <w:tcPr>
            <w:tcW w:w="4927" w:type="dxa"/>
          </w:tcPr>
          <w:p w:rsidR="00352AA9" w:rsidRDefault="00352A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  <w:hideMark/>
          </w:tcPr>
          <w:p w:rsidR="00352AA9" w:rsidRDefault="00352A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352AA9" w:rsidRDefault="00352A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рішення сесії № 2967- 29-</w:t>
            </w:r>
            <w:r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uk-UA"/>
              </w:rPr>
              <w:t xml:space="preserve"> VIIІ</w:t>
            </w:r>
          </w:p>
          <w:p w:rsidR="00352AA9" w:rsidRDefault="00352A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Бучанської міської ради</w:t>
            </w:r>
          </w:p>
          <w:p w:rsidR="00352AA9" w:rsidRDefault="00352A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  <w:t>24.02.2022</w:t>
            </w:r>
          </w:p>
        </w:tc>
      </w:tr>
    </w:tbl>
    <w:p w:rsidR="00352AA9" w:rsidRDefault="00352AA9" w:rsidP="00352AA9">
      <w:pPr>
        <w:tabs>
          <w:tab w:val="left" w:pos="5387"/>
        </w:tabs>
        <w:spacing w:after="0" w:line="240" w:lineRule="auto"/>
        <w:ind w:left="5387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2AA9" w:rsidRDefault="00352AA9" w:rsidP="00352AA9">
      <w:pPr>
        <w:tabs>
          <w:tab w:val="left" w:pos="5387"/>
        </w:tabs>
        <w:spacing w:after="0" w:line="240" w:lineRule="auto"/>
        <w:ind w:left="5387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2AA9" w:rsidRDefault="00352AA9" w:rsidP="00352AA9">
      <w:pPr>
        <w:tabs>
          <w:tab w:val="left" w:pos="5387"/>
        </w:tabs>
        <w:spacing w:after="0" w:line="240" w:lineRule="auto"/>
        <w:ind w:left="5387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2AA9" w:rsidRDefault="00352AA9" w:rsidP="00352AA9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Міському голові________________</w:t>
      </w:r>
    </w:p>
    <w:p w:rsidR="00352AA9" w:rsidRDefault="00352AA9" w:rsidP="00352AA9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ПІБ__________________________</w:t>
      </w:r>
    </w:p>
    <w:p w:rsidR="00352AA9" w:rsidRDefault="00352AA9" w:rsidP="00352AA9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вул. ___________________, буд.___</w:t>
      </w:r>
    </w:p>
    <w:p w:rsidR="00352AA9" w:rsidRDefault="00352AA9" w:rsidP="00352AA9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тел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>.___________________________</w:t>
      </w:r>
    </w:p>
    <w:p w:rsidR="00352AA9" w:rsidRDefault="00352AA9" w:rsidP="00352AA9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__________________________</w:t>
      </w:r>
    </w:p>
    <w:p w:rsidR="00352AA9" w:rsidRDefault="00352AA9" w:rsidP="00352AA9">
      <w:pPr>
        <w:tabs>
          <w:tab w:val="left" w:pos="4860"/>
        </w:tabs>
        <w:spacing w:after="0" w:line="240" w:lineRule="auto"/>
        <w:ind w:left="4860"/>
        <w:jc w:val="both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2AA9" w:rsidRDefault="00352AA9" w:rsidP="00352AA9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2AA9" w:rsidRDefault="00352AA9" w:rsidP="00352AA9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ЗАЯВА </w:t>
      </w:r>
    </w:p>
    <w:p w:rsidR="00352AA9" w:rsidRDefault="00352AA9" w:rsidP="00352AA9">
      <w:pPr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участь у конкурсі Програми з додатками, </w:t>
      </w:r>
    </w:p>
    <w:p w:rsidR="00352AA9" w:rsidRDefault="00352AA9" w:rsidP="00352AA9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що подається до </w:t>
      </w:r>
      <w:proofErr w:type="spellStart"/>
      <w:r>
        <w:rPr>
          <w:rFonts w:ascii="Times New Roman" w:hAnsi="Times New Roman"/>
          <w:sz w:val="28"/>
          <w:szCs w:val="28"/>
        </w:rPr>
        <w:t>ЦНАПу</w:t>
      </w:r>
      <w:proofErr w:type="spellEnd"/>
      <w:r>
        <w:rPr>
          <w:rFonts w:ascii="Times New Roman" w:hAnsi="Times New Roman"/>
          <w:sz w:val="28"/>
          <w:szCs w:val="28"/>
        </w:rPr>
        <w:t xml:space="preserve"> Бучанської міської ради</w:t>
      </w:r>
    </w:p>
    <w:p w:rsidR="00352AA9" w:rsidRDefault="00352AA9" w:rsidP="00352AA9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2AA9" w:rsidRDefault="00352AA9" w:rsidP="00352AA9">
      <w:pPr>
        <w:widowControl w:val="0"/>
        <w:shd w:val="clear" w:color="auto" w:fill="FFFFFF"/>
        <w:suppressAutoHyphens/>
        <w:spacing w:after="0" w:line="293" w:lineRule="atLeast"/>
        <w:ind w:firstLine="708"/>
        <w:jc w:val="both"/>
        <w:textAlignment w:val="baseline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Просимо Вас розглянути можливість включення ______________ у </w:t>
      </w:r>
      <w:r>
        <w:rPr>
          <w:rFonts w:ascii="Times New Roman" w:hAnsi="Times New Roman"/>
          <w:sz w:val="28"/>
          <w:szCs w:val="28"/>
        </w:rPr>
        <w:t>Програму молодіжної інфраструктури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Бучанської міської  територіальної громади</w:t>
      </w:r>
      <w:r>
        <w:rPr>
          <w:rFonts w:ascii="Times New Roman" w:hAnsi="Times New Roman"/>
          <w:color w:val="000000"/>
          <w:sz w:val="28"/>
          <w:szCs w:val="28"/>
        </w:rPr>
        <w:t xml:space="preserve"> на 2022-2023 роки.</w:t>
      </w:r>
    </w:p>
    <w:p w:rsidR="00352AA9" w:rsidRDefault="00352AA9" w:rsidP="00352AA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2AA9" w:rsidRDefault="00352AA9" w:rsidP="00352A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2AA9" w:rsidRDefault="00352AA9" w:rsidP="00352A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2AA9" w:rsidRDefault="00352AA9" w:rsidP="00352A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 заяви додається: </w:t>
      </w:r>
    </w:p>
    <w:p w:rsidR="00352AA9" w:rsidRDefault="00352AA9" w:rsidP="00352AA9">
      <w:pPr>
        <w:numPr>
          <w:ilvl w:val="0"/>
          <w:numId w:val="4"/>
        </w:numPr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 пропозиції;</w:t>
      </w:r>
    </w:p>
    <w:p w:rsidR="00352AA9" w:rsidRDefault="00352AA9" w:rsidP="00352AA9">
      <w:pPr>
        <w:numPr>
          <w:ilvl w:val="0"/>
          <w:numId w:val="4"/>
        </w:numPr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Запропоноване місце розташування (земельна ділянка, приміщення);</w:t>
      </w:r>
    </w:p>
    <w:p w:rsidR="00352AA9" w:rsidRDefault="00352AA9" w:rsidP="00352AA9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</w:rPr>
        <w:t>Проєктно</w:t>
      </w:r>
      <w:proofErr w:type="spellEnd"/>
      <w:r>
        <w:rPr>
          <w:rFonts w:ascii="Times New Roman" w:hAnsi="Times New Roman"/>
          <w:sz w:val="28"/>
          <w:szCs w:val="28"/>
        </w:rPr>
        <w:t>-кошторисна документація (за наявності).</w:t>
      </w:r>
    </w:p>
    <w:p w:rsidR="00352AA9" w:rsidRDefault="00352AA9" w:rsidP="00352AA9">
      <w:pPr>
        <w:spacing w:after="0" w:line="240" w:lineRule="auto"/>
        <w:ind w:left="354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2AA9" w:rsidRDefault="00352AA9" w:rsidP="00352AA9">
      <w:pPr>
        <w:spacing w:after="0" w:line="240" w:lineRule="auto"/>
        <w:ind w:left="354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2AA9" w:rsidRDefault="00352AA9" w:rsidP="00352AA9">
      <w:pPr>
        <w:spacing w:after="0" w:line="240" w:lineRule="auto"/>
        <w:ind w:left="354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2AA9" w:rsidRDefault="00352AA9" w:rsidP="00352AA9">
      <w:pPr>
        <w:spacing w:after="0" w:line="240" w:lineRule="auto"/>
        <w:ind w:left="3544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132" w:type="pct"/>
        <w:tblCellSpacing w:w="15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1"/>
        <w:gridCol w:w="2435"/>
        <w:gridCol w:w="3709"/>
      </w:tblGrid>
      <w:tr w:rsidR="00352AA9" w:rsidTr="00352AA9">
        <w:trPr>
          <w:tblCellSpacing w:w="15" w:type="dxa"/>
        </w:trPr>
        <w:tc>
          <w:tcPr>
            <w:tcW w:w="1914" w:type="pct"/>
            <w:hideMark/>
          </w:tcPr>
          <w:p w:rsidR="00352AA9" w:rsidRDefault="00352A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«_____»___________20____ р.</w:t>
            </w:r>
          </w:p>
        </w:tc>
        <w:tc>
          <w:tcPr>
            <w:tcW w:w="1230" w:type="pct"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93" w:type="pct"/>
            <w:hideMark/>
          </w:tcPr>
          <w:p w:rsidR="00352AA9" w:rsidRDefault="00352A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 /______________/__________/</w:t>
            </w:r>
          </w:p>
        </w:tc>
      </w:tr>
      <w:tr w:rsidR="00352AA9" w:rsidTr="00352AA9">
        <w:trPr>
          <w:gridAfter w:val="1"/>
          <w:wAfter w:w="1793" w:type="pct"/>
          <w:tblCellSpacing w:w="15" w:type="dxa"/>
        </w:trPr>
        <w:tc>
          <w:tcPr>
            <w:tcW w:w="1914" w:type="pct"/>
          </w:tcPr>
          <w:p w:rsidR="00352AA9" w:rsidRDefault="00352A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230" w:type="pct"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52AA9" w:rsidTr="00352AA9">
        <w:trPr>
          <w:gridAfter w:val="1"/>
          <w:wAfter w:w="1793" w:type="pct"/>
          <w:tblCellSpacing w:w="15" w:type="dxa"/>
        </w:trPr>
        <w:tc>
          <w:tcPr>
            <w:tcW w:w="1914" w:type="pct"/>
          </w:tcPr>
          <w:p w:rsidR="00352AA9" w:rsidRDefault="00352A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230" w:type="pct"/>
          </w:tcPr>
          <w:p w:rsidR="00352AA9" w:rsidRDefault="00352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352AA9" w:rsidRDefault="00352AA9" w:rsidP="00352AA9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(ПІБ та підпис)</w:t>
      </w:r>
      <w:r>
        <w:rPr>
          <w:rFonts w:ascii="Times New Roman" w:hAnsi="Times New Roman"/>
          <w:i/>
          <w:iCs/>
          <w:sz w:val="28"/>
          <w:szCs w:val="28"/>
        </w:rPr>
        <w:tab/>
      </w:r>
      <w:r>
        <w:rPr>
          <w:rFonts w:ascii="Times New Roman" w:hAnsi="Times New Roman"/>
          <w:i/>
          <w:iCs/>
          <w:sz w:val="28"/>
          <w:szCs w:val="28"/>
        </w:rPr>
        <w:tab/>
        <w:t>М П.</w:t>
      </w:r>
    </w:p>
    <w:p w:rsidR="00352AA9" w:rsidRDefault="00352AA9" w:rsidP="00352AA9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352AA9" w:rsidRDefault="00352AA9" w:rsidP="00352AA9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4E603B" w:rsidRPr="00352AA9" w:rsidRDefault="00352AA9">
      <w:pPr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ради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>Тарас ШАПРАВСЬКИЙ</w:t>
      </w:r>
    </w:p>
    <w:sectPr w:rsidR="004E603B" w:rsidRPr="00352A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257B"/>
    <w:multiLevelType w:val="multilevel"/>
    <w:tmpl w:val="A42CBA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06DA8"/>
    <w:multiLevelType w:val="hybridMultilevel"/>
    <w:tmpl w:val="48DA2A68"/>
    <w:lvl w:ilvl="0" w:tplc="9406178A">
      <w:start w:val="1"/>
      <w:numFmt w:val="decimal"/>
      <w:lvlText w:val="%1."/>
      <w:lvlJc w:val="left"/>
      <w:pPr>
        <w:ind w:left="585" w:hanging="360"/>
      </w:pPr>
    </w:lvl>
    <w:lvl w:ilvl="1" w:tplc="04220019">
      <w:start w:val="1"/>
      <w:numFmt w:val="lowerLetter"/>
      <w:lvlText w:val="%2."/>
      <w:lvlJc w:val="left"/>
      <w:pPr>
        <w:ind w:left="1305" w:hanging="360"/>
      </w:pPr>
    </w:lvl>
    <w:lvl w:ilvl="2" w:tplc="0422001B">
      <w:start w:val="1"/>
      <w:numFmt w:val="lowerRoman"/>
      <w:lvlText w:val="%3."/>
      <w:lvlJc w:val="right"/>
      <w:pPr>
        <w:ind w:left="2025" w:hanging="180"/>
      </w:pPr>
    </w:lvl>
    <w:lvl w:ilvl="3" w:tplc="0422000F">
      <w:start w:val="1"/>
      <w:numFmt w:val="decimal"/>
      <w:lvlText w:val="%4."/>
      <w:lvlJc w:val="left"/>
      <w:pPr>
        <w:ind w:left="2745" w:hanging="360"/>
      </w:pPr>
    </w:lvl>
    <w:lvl w:ilvl="4" w:tplc="04220019">
      <w:start w:val="1"/>
      <w:numFmt w:val="lowerLetter"/>
      <w:lvlText w:val="%5."/>
      <w:lvlJc w:val="left"/>
      <w:pPr>
        <w:ind w:left="3465" w:hanging="360"/>
      </w:pPr>
    </w:lvl>
    <w:lvl w:ilvl="5" w:tplc="0422001B">
      <w:start w:val="1"/>
      <w:numFmt w:val="lowerRoman"/>
      <w:lvlText w:val="%6."/>
      <w:lvlJc w:val="right"/>
      <w:pPr>
        <w:ind w:left="4185" w:hanging="180"/>
      </w:pPr>
    </w:lvl>
    <w:lvl w:ilvl="6" w:tplc="0422000F">
      <w:start w:val="1"/>
      <w:numFmt w:val="decimal"/>
      <w:lvlText w:val="%7."/>
      <w:lvlJc w:val="left"/>
      <w:pPr>
        <w:ind w:left="4905" w:hanging="360"/>
      </w:pPr>
    </w:lvl>
    <w:lvl w:ilvl="7" w:tplc="04220019">
      <w:start w:val="1"/>
      <w:numFmt w:val="lowerLetter"/>
      <w:lvlText w:val="%8."/>
      <w:lvlJc w:val="left"/>
      <w:pPr>
        <w:ind w:left="5625" w:hanging="360"/>
      </w:pPr>
    </w:lvl>
    <w:lvl w:ilvl="8" w:tplc="0422001B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24494701"/>
    <w:multiLevelType w:val="multilevel"/>
    <w:tmpl w:val="24494701"/>
    <w:lvl w:ilvl="0">
      <w:start w:val="1"/>
      <w:numFmt w:val="decimal"/>
      <w:lvlText w:val="%1."/>
      <w:lvlJc w:val="left"/>
      <w:pPr>
        <w:ind w:left="4605" w:hanging="360"/>
      </w:pPr>
    </w:lvl>
    <w:lvl w:ilvl="1">
      <w:start w:val="1"/>
      <w:numFmt w:val="lowerLetter"/>
      <w:lvlText w:val="%2."/>
      <w:lvlJc w:val="left"/>
      <w:pPr>
        <w:ind w:left="5325" w:hanging="360"/>
      </w:pPr>
    </w:lvl>
    <w:lvl w:ilvl="2">
      <w:start w:val="1"/>
      <w:numFmt w:val="lowerRoman"/>
      <w:lvlText w:val="%3."/>
      <w:lvlJc w:val="right"/>
      <w:pPr>
        <w:ind w:left="6045" w:hanging="180"/>
      </w:pPr>
    </w:lvl>
    <w:lvl w:ilvl="3">
      <w:start w:val="1"/>
      <w:numFmt w:val="decimal"/>
      <w:lvlText w:val="%4."/>
      <w:lvlJc w:val="left"/>
      <w:pPr>
        <w:ind w:left="6765" w:hanging="360"/>
      </w:pPr>
    </w:lvl>
    <w:lvl w:ilvl="4">
      <w:start w:val="1"/>
      <w:numFmt w:val="lowerLetter"/>
      <w:lvlText w:val="%5."/>
      <w:lvlJc w:val="left"/>
      <w:pPr>
        <w:ind w:left="7485" w:hanging="360"/>
      </w:pPr>
    </w:lvl>
    <w:lvl w:ilvl="5">
      <w:start w:val="1"/>
      <w:numFmt w:val="lowerRoman"/>
      <w:lvlText w:val="%6."/>
      <w:lvlJc w:val="right"/>
      <w:pPr>
        <w:ind w:left="8205" w:hanging="180"/>
      </w:pPr>
    </w:lvl>
    <w:lvl w:ilvl="6">
      <w:start w:val="1"/>
      <w:numFmt w:val="decimal"/>
      <w:lvlText w:val="%7."/>
      <w:lvlJc w:val="left"/>
      <w:pPr>
        <w:ind w:left="8925" w:hanging="360"/>
      </w:pPr>
    </w:lvl>
    <w:lvl w:ilvl="7">
      <w:start w:val="1"/>
      <w:numFmt w:val="lowerLetter"/>
      <w:lvlText w:val="%8."/>
      <w:lvlJc w:val="left"/>
      <w:pPr>
        <w:ind w:left="9645" w:hanging="360"/>
      </w:pPr>
    </w:lvl>
    <w:lvl w:ilvl="8">
      <w:start w:val="1"/>
      <w:numFmt w:val="lowerRoman"/>
      <w:lvlText w:val="%9."/>
      <w:lvlJc w:val="right"/>
      <w:pPr>
        <w:ind w:left="10365" w:hanging="180"/>
      </w:pPr>
    </w:lvl>
  </w:abstractNum>
  <w:abstractNum w:abstractNumId="3">
    <w:nsid w:val="474C776A"/>
    <w:multiLevelType w:val="multilevel"/>
    <w:tmpl w:val="474C776A"/>
    <w:lvl w:ilvl="0">
      <w:start w:val="3"/>
      <w:numFmt w:val="decimal"/>
      <w:lvlText w:val="%1."/>
      <w:lvlJc w:val="left"/>
      <w:pPr>
        <w:ind w:left="1004" w:hanging="360"/>
      </w:pPr>
      <w:rPr>
        <w:b/>
        <w:bCs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6C4"/>
    <w:rsid w:val="00352AA9"/>
    <w:rsid w:val="004E603B"/>
    <w:rsid w:val="00C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2AA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52AA9"/>
    <w:pPr>
      <w:ind w:left="720"/>
      <w:contextualSpacing/>
    </w:pPr>
  </w:style>
  <w:style w:type="table" w:styleId="a5">
    <w:name w:val="Table Grid"/>
    <w:basedOn w:val="a1"/>
    <w:uiPriority w:val="99"/>
    <w:rsid w:val="00352A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352AA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5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2AA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2AA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52AA9"/>
    <w:pPr>
      <w:ind w:left="720"/>
      <w:contextualSpacing/>
    </w:pPr>
  </w:style>
  <w:style w:type="table" w:styleId="a5">
    <w:name w:val="Table Grid"/>
    <w:basedOn w:val="a1"/>
    <w:uiPriority w:val="99"/>
    <w:rsid w:val="00352A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352AA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5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2A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6110</Words>
  <Characters>3483</Characters>
  <Application>Microsoft Office Word</Application>
  <DocSecurity>0</DocSecurity>
  <Lines>29</Lines>
  <Paragraphs>19</Paragraphs>
  <ScaleCrop>false</ScaleCrop>
  <Company>SPecialiST RePack</Company>
  <LinksUpToDate>false</LinksUpToDate>
  <CharactersWithSpaces>9574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2022-05-24T05:26:00Z</dcterms:created>
  <dcterms:modified xsi:type="dcterms:W3CDTF">2022-05-24T05:27:00Z</dcterms:modified>
</cp:coreProperties>
</file>